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02124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202124"/>
          <w:sz w:val="32"/>
          <w:szCs w:val="32"/>
          <w:highlight w:val="white"/>
          <w:rtl w:val="0"/>
        </w:rPr>
        <w:t xml:space="preserve">¿Cómo son las viviendas promedio en la CDMX? El análisis por colonia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Agrícola Oriental, Centro y Pedregal Santo Domingo, son los asentamientos donde se encuentran más viviendas particulares, cuya construcción cuenta con dos, tres o más habitaciones. </w:t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31 de octubre de 2023.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 Ciudad de México, una metrópolis que no conoce límites en su diversidad, también se destaca por su variada gama de opciones de vivienda. Cada una de las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16 alcaldías</w:t>
        </w:r>
      </w:hyperlink>
      <w:r w:rsidDel="00000000" w:rsidR="00000000" w:rsidRPr="00000000">
        <w:rPr>
          <w:rtl w:val="0"/>
        </w:rPr>
        <w:t xml:space="preserve"> de la capital tiene su propio encanto y una oferta inmobiliaria única que atrae a una amplia gama de compradores y arrendatarios. Desde las elegantes calles de Polanco hasta las vibrantes colonias del sur, la vivienda en la capital mexicana abarca un abanico de características que definen su comercialización.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Polanco: Elegancia y lujo en cada rincón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Aquí, las viviendas promedio son sinónimo de sofisticación. Los departamentos de tres o más habitaciones con servicios de conserjería, estacionamiento subterráneo y acabados de alta gama son la norma. La construcción suele ser vertical, con edificios de varios pisos que ofrecen vistas panorámicas de la ciudad. Esta zona atrae a inversores y compradores de alto poder adquisitivo; su comercialización se centra en el prestigio y la ubicación.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Coyoacán: Tradición y comunidad en cada esquina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Los inmuebles promedio se caracterizan por su estilo colonial, calles adoquinadas y de una o dos plantas. Aunque las propiedades pueden ser más pequeñas en comparación con otras zonas, la sensación de pertenencia y la rica tradición del lugar atrae a muchas personas. La venta y compra se centra en la conexión emocional con la comunidad y la preservación de la historia.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Santa Fe: Modernidad y conveniencia en ascenso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Las propiedades aquí suelen tener acceso a servicios de alta calidad, como gimnasios, restaurantes y seguridad las 24 horas. Casi todas las construcciones son verticales, con rascacielos que dominan el horizonte. Los compradores y arrendatarios en Santa Fe buscan la comodidad y la accesibilidad a las áreas de trabajo. La comercialización se enfoca en la modernidad y la vida urbana de alta gama.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Iztapalapa: Espacio y tradición en una megaciudad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En contraste, Iztapalapa es una zona donde la vivienda promedio a menudo implica casas más grandes y espaciosas, con múltiples habitaciones y patios. La construcción es horizontal, y las casas están diseñadas para familias grandes. La comercialización se centra en la accesibilidad, el espacio y la vida familiar.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De forma más detallada, el equipo de Data Science de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monopolio.com.mx</w:t>
        </w:r>
      </w:hyperlink>
      <w:r w:rsidDel="00000000" w:rsidR="00000000" w:rsidRPr="00000000">
        <w:rPr>
          <w:rtl w:val="0"/>
        </w:rPr>
        <w:t xml:space="preserve">, plataforma digital inmobiliaria con toda la información sobre precios de vivienda, nos comparte las colonias donde hay más viviendas particulares habitadas con un cuarto, con dos cuartos, y con tres o más cuartos en la Ciudad de México: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2070"/>
        <w:gridCol w:w="255"/>
        <w:gridCol w:w="2280"/>
        <w:gridCol w:w="2280"/>
        <w:tblGridChange w:id="0">
          <w:tblGrid>
            <w:gridCol w:w="2130"/>
            <w:gridCol w:w="2070"/>
            <w:gridCol w:w="255"/>
            <w:gridCol w:w="2280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Viviendas con 1 cuarto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Viviendas con 2 cuartos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Pedregal de Santo Domingo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2,701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Pedregal de Santo Domingo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4,124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 urbano Quetzalcóatl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1,239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Desarrollo urbano Quetzalcóatl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2,644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1,112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Agrícola Oriental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2,627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Xalpa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995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Xalpa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2,499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José López Portillo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957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Buenavista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Buenavista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946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 Felipe de Jesús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2,251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UH Santa Cruz Meyehualco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885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2,154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Pedregal Santa Úrsula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870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Pedregal Santa Úrsula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1,836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 Gregorio Atlapulco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751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Moctezuma 2da Sección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1,668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Agrícola Oriental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736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Nueva Atzacoalco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1,603</w:t>
            </w:r>
          </w:p>
        </w:tc>
      </w:tr>
    </w:tbl>
    <w:p w:rsidR="00000000" w:rsidDel="00000000" w:rsidP="00000000" w:rsidRDefault="00000000" w:rsidRPr="00000000" w14:paraId="0000004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7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2910"/>
        <w:tblGridChange w:id="0">
          <w:tblGrid>
            <w:gridCol w:w="2790"/>
            <w:gridCol w:w="2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Colonia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Viviendas con 3 o + cuartos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Agrícola Oriental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21,519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Pantitlán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18,773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Doctores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15,904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Pedregal de Santo Domingo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15,329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Guerrero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13,971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Santa María La Ribera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13,886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13,814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Moctezuma 2da Sección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12,164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Anáhuac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11,668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Jardín Balbuena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11,646</w:t>
            </w:r>
          </w:p>
        </w:tc>
      </w:tr>
    </w:tbl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i w:val="1"/>
          <w:rtl w:val="0"/>
        </w:rPr>
        <w:t xml:space="preserve">“Al comprender cómo se conforma la vivienda promedio en cada alcaldía y las implicaciones para su comercialización, los profesionales del sector inmobiliario pueden ayudar a sus clientes a encontrar el lugar perfecto para vivir en esta vibrante urbe”</w:t>
      </w:r>
      <w:r w:rsidDel="00000000" w:rsidR="00000000" w:rsidRPr="00000000">
        <w:rPr>
          <w:rtl w:val="0"/>
        </w:rPr>
        <w:t xml:space="preserve">, afirma </w:t>
      </w:r>
      <w:r w:rsidDel="00000000" w:rsidR="00000000" w:rsidRPr="00000000">
        <w:rPr>
          <w:b w:val="1"/>
          <w:rtl w:val="0"/>
        </w:rPr>
        <w:t xml:space="preserve">Jorge Combe, cofundador de DD360.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/>
      </w:pPr>
      <w:r w:rsidDel="00000000" w:rsidR="00000000" w:rsidRPr="00000000">
        <w:rPr>
          <w:rtl w:val="0"/>
        </w:rPr>
        <w:t xml:space="preserve">La Ciudad de México es un lugar donde la diversidad no solo enriquece la vida cotidiana, sino también el mercado inmobiliario y de negocios. Los agentes inmobiliarios que pueden adaptarse a las características de cada zona y resaltar sus atributos únicos estarán un paso adelante en este emocionante mercado en constante evolución.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####</w:t>
      </w:r>
    </w:p>
    <w:p w:rsidR="00000000" w:rsidDel="00000000" w:rsidP="00000000" w:rsidRDefault="00000000" w:rsidRPr="00000000" w14:paraId="0000006E">
      <w:pPr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both"/>
        <w:rPr>
          <w:rFonts w:ascii="Open Sans" w:cs="Open Sans" w:eastAsia="Open Sans" w:hAnsi="Open Sans"/>
          <w:b w:val="1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u w:val="single"/>
          <w:rtl w:val="0"/>
        </w:rPr>
        <w:t xml:space="preserve">Sobre monopolio.com.mx</w:t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Es un producto digital que forma parte del ecosistema de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DD360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, la plataforma online de financiamiento y gestión de proyectos residenciales, que opera créditos puente y pre-puente para desarrolladores, así como créditos hipotecarios para consumidores finales.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hyperlink r:id="rId8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highlight w:val="white"/>
            <w:rtl w:val="0"/>
          </w:rPr>
          <w:t xml:space="preserve">monopolio.com.mx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 es la plataforma para invertir, comprar o rentar, de manera inteligente para que las personas construyan y administren su Monopolio. </w:t>
      </w:r>
    </w:p>
    <w:p w:rsidR="00000000" w:rsidDel="00000000" w:rsidP="00000000" w:rsidRDefault="00000000" w:rsidRPr="00000000" w14:paraId="00000072">
      <w:pPr>
        <w:spacing w:line="240" w:lineRule="auto"/>
        <w:jc w:val="both"/>
        <w:rPr>
          <w:rFonts w:ascii="Roboto" w:cs="Roboto" w:eastAsia="Roboto" w:hAnsi="Roboto"/>
          <w:color w:val="444746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Desde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2021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, </w:t>
      </w:r>
      <w:hyperlink r:id="rId9">
        <w:r w:rsidDel="00000000" w:rsidR="00000000" w:rsidRPr="00000000">
          <w:rPr>
            <w:rFonts w:ascii="Open Sans" w:cs="Open Sans" w:eastAsia="Open Sans" w:hAnsi="Open Sans"/>
            <w:b w:val="1"/>
            <w:sz w:val="20"/>
            <w:szCs w:val="20"/>
            <w:highlight w:val="white"/>
            <w:rtl w:val="0"/>
          </w:rPr>
          <w:t xml:space="preserve">monopolio.com.mx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 ofrece avalúos digitales y un mapa con información del valor de venta y renta de las 2 millones de propiedades en Ciudad de México. Además, incluye métricas de cap rate (retorno porcentual en rentas sobre el valor de una propiedad) y plusvalía para cada 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</w:t>
      </w:r>
      <w:r w:rsidDel="00000000" w:rsidR="00000000" w:rsidRPr="00000000">
        <w:rPr>
          <w:rFonts w:ascii="Open Sans" w:cs="Open Sans" w:eastAsia="Open Sans" w:hAnsi="Open Sans"/>
          <w:b w:val="1"/>
          <w:color w:val="666666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México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Rodrigo Franco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rodrigo.franco@another.co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5570517579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/>
      <w:drawing>
        <wp:inline distB="114300" distT="114300" distL="114300" distR="114300">
          <wp:extent cx="1795463" cy="4712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471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rodrigo.franco@another.co" TargetMode="External"/><Relationship Id="rId9" Type="http://schemas.openxmlformats.org/officeDocument/2006/relationships/hyperlink" Target="http://monopolio.com.mx" TargetMode="External"/><Relationship Id="rId5" Type="http://schemas.openxmlformats.org/officeDocument/2006/relationships/styles" Target="styles.xml"/><Relationship Id="rId6" Type="http://schemas.openxmlformats.org/officeDocument/2006/relationships/hyperlink" Target="https://cuentame.inegi.org.mx/monografias/informacion/df/territorio/div_municipal.aspx?tema=me&amp;e=09" TargetMode="External"/><Relationship Id="rId7" Type="http://schemas.openxmlformats.org/officeDocument/2006/relationships/hyperlink" Target="https://monopolio.com.mx/" TargetMode="External"/><Relationship Id="rId8" Type="http://schemas.openxmlformats.org/officeDocument/2006/relationships/hyperlink" Target="http://monopolio.com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